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Poppins" w:cs="Poppins" w:eastAsia="Poppins" w:hAnsi="Poppins"/>
          <w:b w:val="1"/>
          <w:bCs w:val="1"/>
          <w:sz w:val="30"/>
          <w:szCs w:val="30"/>
        </w:rPr>
      </w:pPr>
      <w:r w:rsidDel="00000000" w:rsidR="00000000" w:rsidRPr="00000000">
        <w:rPr>
          <w:rtl w:val="0"/>
        </w:rPr>
      </w:r>
    </w:p>
    <w:p w:rsidR="00000000" w:rsidDel="00000000" w:rsidP="00000000" w:rsidRDefault="00000000" w:rsidRPr="00000000" w14:paraId="00000002">
      <w:pPr>
        <w:spacing w:line="276" w:lineRule="auto"/>
        <w:jc w:val="center"/>
        <w:rPr>
          <w:rFonts w:ascii="Poppins" w:cs="Poppins" w:eastAsia="Poppins" w:hAnsi="Poppins"/>
          <w:b w:val="1"/>
          <w:bCs w:val="1"/>
          <w:sz w:val="30"/>
          <w:szCs w:val="30"/>
        </w:rPr>
      </w:pPr>
      <w:r w:rsidDel="00000000" w:rsidR="00000000" w:rsidRPr="00000000">
        <w:rPr>
          <w:rtl w:val="0"/>
        </w:rPr>
      </w:r>
    </w:p>
    <w:p w:rsidR="00000000" w:rsidDel="00000000" w:rsidP="00000000" w:rsidRDefault="00000000" w:rsidRPr="00000000" w14:paraId="00000003">
      <w:pPr>
        <w:spacing w:line="276" w:lineRule="auto"/>
        <w:jc w:val="center"/>
        <w:rPr>
          <w:rFonts w:ascii="Poppins" w:cs="Poppins" w:eastAsia="Poppins" w:hAnsi="Poppins"/>
          <w:b w:val="1"/>
          <w:bCs w:val="1"/>
          <w:sz w:val="30"/>
          <w:szCs w:val="30"/>
        </w:rPr>
      </w:pPr>
      <w:r w:rsidDel="00000000" w:rsidR="00000000" w:rsidRPr="00000000">
        <w:rPr>
          <w:rFonts w:ascii="Poppins" w:cs="Poppins" w:eastAsia="Poppins" w:hAnsi="Poppins"/>
          <w:b w:val="1"/>
          <w:bCs w:val="1"/>
          <w:sz w:val="30"/>
          <w:szCs w:val="30"/>
          <w:rtl w:val="0"/>
        </w:rPr>
        <w:t xml:space="preserve">Wedstrijdreglement Handbal </w:t>
      </w:r>
    </w:p>
    <w:p w:rsidR="00000000" w:rsidDel="00000000" w:rsidP="00000000" w:rsidRDefault="00000000" w:rsidRPr="00000000" w14:paraId="00000004">
      <w:pPr>
        <w:spacing w:line="276" w:lineRule="auto"/>
        <w:jc w:val="center"/>
        <w:rPr>
          <w:rFonts w:ascii="Poppins" w:cs="Poppins" w:eastAsia="Poppins" w:hAnsi="Poppins"/>
          <w:b w:val="1"/>
          <w:bCs w:val="1"/>
          <w:sz w:val="30"/>
          <w:szCs w:val="30"/>
        </w:rPr>
      </w:pPr>
      <w:r w:rsidDel="00000000" w:rsidR="00000000" w:rsidRPr="00000000">
        <w:rPr>
          <w:rFonts w:ascii="Poppins" w:cs="Poppins" w:eastAsia="Poppins" w:hAnsi="Poppins"/>
          <w:b w:val="1"/>
          <w:bCs w:val="1"/>
          <w:sz w:val="30"/>
          <w:szCs w:val="30"/>
          <w:rtl w:val="0"/>
        </w:rPr>
        <w:t xml:space="preserve">GNSK 2026</w:t>
      </w:r>
    </w:p>
    <w:p w:rsidR="00000000" w:rsidDel="00000000" w:rsidP="00000000" w:rsidRDefault="00000000" w:rsidRPr="00000000" w14:paraId="00000005">
      <w:pPr>
        <w:widowControl w:val="0"/>
        <w:numPr>
          <w:ilvl w:val="0"/>
          <w:numId w:val="1"/>
        </w:numPr>
        <w:spacing w:before="518.6669921875" w:line="240" w:lineRule="auto"/>
        <w:ind w:left="1440" w:right="809.5275590551182" w:hanging="360"/>
        <w:jc w:val="both"/>
        <w:rPr>
          <w:rFonts w:ascii="Poppins" w:cs="Poppins" w:eastAsia="Poppins" w:hAnsi="Poppins"/>
          <w:b w:val="1"/>
          <w:bCs w:val="1"/>
          <w:sz w:val="18.079999923706055"/>
          <w:szCs w:val="18.079999923706055"/>
        </w:rPr>
      </w:pPr>
      <w:r w:rsidDel="00000000" w:rsidR="00000000" w:rsidRPr="00000000">
        <w:rPr>
          <w:rFonts w:ascii="Poppins" w:cs="Poppins" w:eastAsia="Poppins" w:hAnsi="Poppins"/>
          <w:b w:val="1"/>
          <w:bCs w:val="1"/>
          <w:sz w:val="18.079999923706055"/>
          <w:szCs w:val="18.079999923706055"/>
          <w:rtl w:val="0"/>
        </w:rPr>
        <w:t xml:space="preserve">Teamsamenstelling en speelgerechtigdheid </w:t>
      </w:r>
    </w:p>
    <w:p w:rsidR="00000000" w:rsidDel="00000000" w:rsidP="00000000" w:rsidRDefault="00000000" w:rsidRPr="00000000" w14:paraId="00000006">
      <w:pPr>
        <w:widowControl w:val="0"/>
        <w:spacing w:before="277.52685546875" w:line="240"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 Per Overkoepelende Studenten Sport Organisatie (hierna: OSSO)/stad kunnen meerdere  heren- en damesteams ingeschreven worden. Een team bestaat uit minimaal 7 en maximaal 14  spelers. Het eerste ingeschreven team per geslacht per </w:t>
      </w:r>
      <w:r w:rsidDel="00000000" w:rsidR="00000000" w:rsidRPr="00000000">
        <w:rPr>
          <w:rFonts w:ascii="Poppins" w:cs="Poppins" w:eastAsia="Poppins" w:hAnsi="Poppins"/>
          <w:sz w:val="18"/>
          <w:szCs w:val="18"/>
          <w:highlight w:val="white"/>
          <w:rtl w:val="0"/>
        </w:rPr>
        <w:t xml:space="preserve">OSSO/</w:t>
      </w:r>
      <w:r w:rsidDel="00000000" w:rsidR="00000000" w:rsidRPr="00000000">
        <w:rPr>
          <w:rFonts w:ascii="Poppins" w:cs="Poppins" w:eastAsia="Poppins" w:hAnsi="Poppins"/>
          <w:sz w:val="18"/>
          <w:szCs w:val="18"/>
          <w:rtl w:val="0"/>
        </w:rPr>
        <w:t xml:space="preserve">stad</w:t>
      </w:r>
      <w:r w:rsidDel="00000000" w:rsidR="00000000" w:rsidRPr="00000000">
        <w:rPr>
          <w:rFonts w:ascii="Poppins" w:cs="Poppins" w:eastAsia="Poppins" w:hAnsi="Poppins"/>
          <w:sz w:val="18"/>
          <w:szCs w:val="18"/>
          <w:highlight w:val="white"/>
          <w:rtl w:val="0"/>
        </w:rPr>
        <w:t xml:space="preserve"> </w:t>
      </w:r>
      <w:r w:rsidDel="00000000" w:rsidR="00000000" w:rsidRPr="00000000">
        <w:rPr>
          <w:rFonts w:ascii="Poppins" w:cs="Poppins" w:eastAsia="Poppins" w:hAnsi="Poppins"/>
          <w:sz w:val="18"/>
          <w:szCs w:val="18"/>
          <w:rtl w:val="0"/>
        </w:rPr>
        <w:t xml:space="preserve">heeft altijd recht om mee te doen. Afhankelijk van het aantal ingeschreven teams wordt besloten of de andere teams mee kunnen doen. Mochten er te veel</w:t>
      </w:r>
      <w:r w:rsidDel="00000000" w:rsidR="00000000" w:rsidRPr="00000000">
        <w:rPr>
          <w:rFonts w:ascii="Poppins" w:cs="Poppins" w:eastAsia="Poppins" w:hAnsi="Poppins"/>
          <w:sz w:val="18"/>
          <w:szCs w:val="18"/>
          <w:rtl w:val="0"/>
        </w:rPr>
        <w:t xml:space="preserve"> extra</w:t>
      </w:r>
      <w:r w:rsidDel="00000000" w:rsidR="00000000" w:rsidRPr="00000000">
        <w:rPr>
          <w:rFonts w:ascii="Poppins" w:cs="Poppins" w:eastAsia="Poppins" w:hAnsi="Poppins"/>
          <w:sz w:val="18"/>
          <w:szCs w:val="18"/>
          <w:rtl w:val="0"/>
        </w:rPr>
        <w:t xml:space="preserve"> teams per </w:t>
      </w:r>
      <w:r w:rsidDel="00000000" w:rsidR="00000000" w:rsidRPr="00000000">
        <w:rPr>
          <w:rFonts w:ascii="Poppins" w:cs="Poppins" w:eastAsia="Poppins" w:hAnsi="Poppins"/>
          <w:sz w:val="18"/>
          <w:szCs w:val="18"/>
          <w:highlight w:val="white"/>
          <w:rtl w:val="0"/>
        </w:rPr>
        <w:t xml:space="preserve">OSSO/</w:t>
      </w:r>
      <w:r w:rsidDel="00000000" w:rsidR="00000000" w:rsidRPr="00000000">
        <w:rPr>
          <w:rFonts w:ascii="Poppins" w:cs="Poppins" w:eastAsia="Poppins" w:hAnsi="Poppins"/>
          <w:sz w:val="18"/>
          <w:szCs w:val="18"/>
          <w:rtl w:val="0"/>
        </w:rPr>
        <w:t xml:space="preserve">stad</w:t>
      </w:r>
      <w:r w:rsidDel="00000000" w:rsidR="00000000" w:rsidRPr="00000000">
        <w:rPr>
          <w:rFonts w:ascii="Poppins" w:cs="Poppins" w:eastAsia="Poppins" w:hAnsi="Poppins"/>
          <w:sz w:val="18"/>
          <w:szCs w:val="18"/>
          <w:highlight w:val="white"/>
          <w:rtl w:val="0"/>
        </w:rPr>
        <w:t xml:space="preserve"> </w:t>
      </w:r>
      <w:r w:rsidDel="00000000" w:rsidR="00000000" w:rsidRPr="00000000">
        <w:rPr>
          <w:rFonts w:ascii="Poppins" w:cs="Poppins" w:eastAsia="Poppins" w:hAnsi="Poppins"/>
          <w:sz w:val="18"/>
          <w:szCs w:val="18"/>
          <w:rtl w:val="0"/>
        </w:rPr>
        <w:t xml:space="preserve">zijn voor de overgebleven plekken, gaat deelname op basis van volgorde van inschrijving. </w:t>
      </w:r>
    </w:p>
    <w:p w:rsidR="00000000" w:rsidDel="00000000" w:rsidP="00000000" w:rsidRDefault="00000000" w:rsidRPr="00000000" w14:paraId="00000007">
      <w:pPr>
        <w:widowControl w:val="0"/>
        <w:spacing w:before="311.12548828125" w:line="240"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2. De ingeschreven deelnemers van een OSSO/stad mogen uitsluitend bestaan uit studenten die voldoen aan de voorwaarden als gesteld in het Deelnamerecht GNSK 2026. Bij overtreding van deze regels verliest het team alle wedstrijden. Als een ongerechtigde deelnemer meedoet aan het GNSK, wordt er een boete van €200,- in rekening gebracht bij de OSSO/vertegenwoordigende organisatie in de stad voor wie die deelnemer uitkomt.  </w:t>
      </w:r>
    </w:p>
    <w:p w:rsidR="00000000" w:rsidDel="00000000" w:rsidP="00000000" w:rsidRDefault="00000000" w:rsidRPr="00000000" w14:paraId="00000008">
      <w:pPr>
        <w:widowControl w:val="0"/>
        <w:spacing w:before="279.9261474609375" w:line="240"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3. De teamopgave dient voor aanvang van iedere wedstrijd doorgegeven te worden aan de handbalcommissie. Mocht een </w:t>
      </w:r>
      <w:r w:rsidDel="00000000" w:rsidR="00000000" w:rsidRPr="00000000">
        <w:rPr>
          <w:rFonts w:ascii="Poppins" w:cs="Poppins" w:eastAsia="Poppins" w:hAnsi="Poppins"/>
          <w:sz w:val="18"/>
          <w:szCs w:val="18"/>
          <w:highlight w:val="white"/>
          <w:rtl w:val="0"/>
        </w:rPr>
        <w:t xml:space="preserve">OSSO/</w:t>
      </w:r>
      <w:r w:rsidDel="00000000" w:rsidR="00000000" w:rsidRPr="00000000">
        <w:rPr>
          <w:rFonts w:ascii="Poppins" w:cs="Poppins" w:eastAsia="Poppins" w:hAnsi="Poppins"/>
          <w:sz w:val="18"/>
          <w:szCs w:val="18"/>
          <w:rtl w:val="0"/>
        </w:rPr>
        <w:t xml:space="preserve">stad</w:t>
      </w:r>
      <w:r w:rsidDel="00000000" w:rsidR="00000000" w:rsidRPr="00000000">
        <w:rPr>
          <w:rFonts w:ascii="Poppins" w:cs="Poppins" w:eastAsia="Poppins" w:hAnsi="Poppins"/>
          <w:sz w:val="18"/>
          <w:szCs w:val="18"/>
          <w:highlight w:val="white"/>
          <w:rtl w:val="0"/>
        </w:rPr>
        <w:t xml:space="preserve"> </w:t>
      </w:r>
      <w:r w:rsidDel="00000000" w:rsidR="00000000" w:rsidRPr="00000000">
        <w:rPr>
          <w:rFonts w:ascii="Poppins" w:cs="Poppins" w:eastAsia="Poppins" w:hAnsi="Poppins"/>
          <w:sz w:val="18"/>
          <w:szCs w:val="18"/>
          <w:rtl w:val="0"/>
        </w:rPr>
        <w:t xml:space="preserve">meerdere deelnemende teams sturen, dan mogen er geen spelers gewisseld worden of bij een ander team meespelen. Mocht dit wel gebeuren, dan geldt artikel 2 van de teamsamenstelling en speelgerechtigdheid. </w:t>
      </w:r>
    </w:p>
    <w:p w:rsidR="00000000" w:rsidDel="00000000" w:rsidP="00000000" w:rsidRDefault="00000000" w:rsidRPr="00000000" w14:paraId="00000009">
      <w:pPr>
        <w:widowControl w:val="0"/>
        <w:spacing w:before="287.1551513671875" w:line="238.29648971557617"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highlight w:val="white"/>
          <w:rtl w:val="0"/>
        </w:rPr>
        <w:t xml:space="preserve">4. </w:t>
      </w:r>
      <w:r w:rsidDel="00000000" w:rsidR="00000000" w:rsidRPr="00000000">
        <w:rPr>
          <w:rFonts w:ascii="Poppins" w:cs="Poppins" w:eastAsia="Poppins" w:hAnsi="Poppins"/>
          <w:sz w:val="18"/>
          <w:szCs w:val="18"/>
          <w:rtl w:val="0"/>
        </w:rPr>
        <w:t xml:space="preserve">De winnaar van het handbaltoernooi van het GNSK 2026 kwalificeert zich voor de European Universities Championships (EUC) in 2027. Zie het Deelnamerecht GNSK 2026 voor de regels die hiervoor gelden. Indien een team wint dat niet voldoet aan de gestelde eisen, zal de kwalificatie gaan naar het eerstvolgende team dat aan alle eisen voldoet. </w:t>
      </w:r>
      <w:r w:rsidDel="00000000" w:rsidR="00000000" w:rsidRPr="00000000">
        <w:rPr>
          <w:rFonts w:ascii="Poppins" w:cs="Poppins" w:eastAsia="Poppins" w:hAnsi="Poppins"/>
          <w:sz w:val="18"/>
          <w:szCs w:val="18"/>
          <w:rtl w:val="0"/>
        </w:rPr>
        <w:t xml:space="preserve">Bij geen interesse gaat de kwalificatie door naar de nummer twee, enz. </w:t>
      </w:r>
      <w:r w:rsidDel="00000000" w:rsidR="00000000" w:rsidRPr="00000000">
        <w:rPr>
          <w:rtl w:val="0"/>
        </w:rPr>
      </w:r>
    </w:p>
    <w:p w:rsidR="00000000" w:rsidDel="00000000" w:rsidP="00000000" w:rsidRDefault="00000000" w:rsidRPr="00000000" w14:paraId="0000000A">
      <w:pPr>
        <w:widowControl w:val="0"/>
        <w:spacing w:before="287.1551513671875" w:line="238.29648971557617"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0B">
      <w:pPr>
        <w:widowControl w:val="0"/>
        <w:spacing w:before="287.1551513671875" w:line="238.29648971557617"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0C">
      <w:pPr>
        <w:widowControl w:val="0"/>
        <w:spacing w:before="287.1551513671875" w:line="238.29648971557617"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0D">
      <w:pPr>
        <w:widowControl w:val="0"/>
        <w:spacing w:before="287.1551513671875" w:line="238.29648971557617"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0E">
      <w:pPr>
        <w:widowControl w:val="0"/>
        <w:spacing w:before="287.1551513671875" w:line="238.29648971557617"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0F">
      <w:pPr>
        <w:widowControl w:val="0"/>
        <w:spacing w:before="287.1551513671875" w:line="238.29648971557617"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10">
      <w:pPr>
        <w:widowControl w:val="0"/>
        <w:spacing w:before="287.1551513671875" w:line="238.29648971557617"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11">
      <w:pPr>
        <w:widowControl w:val="0"/>
        <w:numPr>
          <w:ilvl w:val="0"/>
          <w:numId w:val="1"/>
        </w:numPr>
        <w:spacing w:before="277.5262451171875" w:line="240" w:lineRule="auto"/>
        <w:ind w:left="1440" w:right="809.5275590551182" w:hanging="360"/>
        <w:jc w:val="both"/>
        <w:rPr>
          <w:rFonts w:ascii="Poppins" w:cs="Poppins" w:eastAsia="Poppins" w:hAnsi="Poppins"/>
          <w:b w:val="1"/>
          <w:bCs w:val="1"/>
          <w:sz w:val="18"/>
          <w:szCs w:val="18"/>
          <w:u w:val="none"/>
        </w:rPr>
      </w:pPr>
      <w:r w:rsidDel="00000000" w:rsidR="00000000" w:rsidRPr="00000000">
        <w:rPr>
          <w:rFonts w:ascii="Poppins" w:cs="Poppins" w:eastAsia="Poppins" w:hAnsi="Poppins"/>
          <w:b w:val="1"/>
          <w:bCs w:val="1"/>
          <w:sz w:val="18"/>
          <w:szCs w:val="18"/>
          <w:rtl w:val="0"/>
        </w:rPr>
        <w:t xml:space="preserve">Wedstrijdbepalingen </w:t>
      </w:r>
    </w:p>
    <w:p w:rsidR="00000000" w:rsidDel="00000000" w:rsidP="00000000" w:rsidRDefault="00000000" w:rsidRPr="00000000" w14:paraId="00000012">
      <w:pPr>
        <w:widowControl w:val="0"/>
        <w:spacing w:before="321.3262939453125" w:line="252.07308769226074"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 De voorrondes worden gespeeld in poules. De poule-indeling geschiedt op basis van loting, waarbij teams ingedeeld worden volgens de Uitvoeringsregeling Plaatsing GNSK 2026. Waar mogelijk worden teams uit dezelfde OSSO of stad over verschillende poules verdeeld. Voorafgaand aan de loting bepaalt de handbalcommissie hoeveel teams per poule zich kwalificeren voor het finaleschema, dat wordt gespeeld in een knock-outsysteem.</w:t>
      </w:r>
      <w:r w:rsidDel="00000000" w:rsidR="00000000" w:rsidRPr="00000000">
        <w:rPr>
          <w:rtl w:val="0"/>
        </w:rPr>
      </w:r>
    </w:p>
    <w:p w:rsidR="00000000" w:rsidDel="00000000" w:rsidP="00000000" w:rsidRDefault="00000000" w:rsidRPr="00000000" w14:paraId="00000013">
      <w:pPr>
        <w:widowControl w:val="0"/>
        <w:spacing w:before="279.9267578125" w:line="240"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2. Bij een gewonnen wedstrijd krijgt een team 2 punten, bij een gelijkspel 1. De eindstand van de poule wordt bepaald op basis van het aantal punten dat een team behaald heeft. Bij een gelijke stand in een poulefase beslist achtereenvolgens het onderlinge resultaat, het doelsaldo en het aantal doelpunten voor. Als er nog geen beslissing is bereikt, nemen per team vijf verschillende spelers ieder één 7-meter worp. Indien nodig nemen hierna beide teams om beurten een 7-meter worp totdat er een beslissing is gevallen. </w:t>
      </w:r>
    </w:p>
    <w:p w:rsidR="00000000" w:rsidDel="00000000" w:rsidP="00000000" w:rsidRDefault="00000000" w:rsidRPr="00000000" w14:paraId="00000014">
      <w:pPr>
        <w:widowControl w:val="0"/>
        <w:spacing w:before="279.9263000488281" w:line="240"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3. De duur van een wedstrijd is bepaald op</w:t>
      </w:r>
      <w:r w:rsidDel="00000000" w:rsidR="00000000" w:rsidRPr="00000000">
        <w:rPr>
          <w:rFonts w:ascii="Poppins" w:cs="Poppins" w:eastAsia="Poppins" w:hAnsi="Poppins"/>
          <w:sz w:val="18"/>
          <w:szCs w:val="18"/>
          <w:rtl w:val="0"/>
        </w:rPr>
        <w:t xml:space="preserve"> 20 minuten</w:t>
      </w:r>
      <w:r w:rsidDel="00000000" w:rsidR="00000000" w:rsidRPr="00000000">
        <w:rPr>
          <w:rFonts w:ascii="Poppins" w:cs="Poppins" w:eastAsia="Poppins" w:hAnsi="Poppins"/>
          <w:sz w:val="18"/>
          <w:szCs w:val="18"/>
          <w:rtl w:val="0"/>
        </w:rPr>
        <w:t xml:space="preserve"> doorlopende speeltijd zonder wissel van de speelhelft en zonder pauze. De finale en troostfinale zullen twee maal 20 minuten zuivere speeltijd duren,  waarbij er een rust is tussen de helften van 10 minuten. De spelers mogen onbeperkt gewisseld  worden. </w:t>
      </w:r>
    </w:p>
    <w:p w:rsidR="00000000" w:rsidDel="00000000" w:rsidP="00000000" w:rsidRDefault="00000000" w:rsidRPr="00000000" w14:paraId="00000015">
      <w:pPr>
        <w:widowControl w:val="0"/>
        <w:spacing w:before="276.815185546875" w:line="242.65706062316895"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4. In een poulefase is gelijkspel mogelijk. Eindigt in het verdere toernooi een wedstrijd gelijk,  dan zal er met twee maal 5 minuten verlengd worden. Indien er dan nog geen winnaar is,  nemen per team vijf verschillende spelers ieder één 7-meter worp. Indien nodig nemen hierna  beide teams om beurten een 7-meter worp totdat er een beslissing is gevallen. </w:t>
      </w:r>
    </w:p>
    <w:p w:rsidR="00000000" w:rsidDel="00000000" w:rsidP="00000000" w:rsidRDefault="00000000" w:rsidRPr="00000000" w14:paraId="00000016">
      <w:pPr>
        <w:widowControl w:val="0"/>
        <w:spacing w:before="277.484130859375" w:line="243.38029861450195"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5. De teams dienen op het in het wedstrijdschema aangegeven tijdstip aanwezig en speelklaar te  zijn. Indien dit niet het geval is, verliest hij/zij de wedstrijd. De uitslag is dan 5-0 in het voordeel van het aanwezige team. </w:t>
      </w:r>
    </w:p>
    <w:p w:rsidR="00000000" w:rsidDel="00000000" w:rsidP="00000000" w:rsidRDefault="00000000" w:rsidRPr="00000000" w14:paraId="00000017">
      <w:pPr>
        <w:widowControl w:val="0"/>
        <w:spacing w:before="277.4169921875" w:line="243.38250160217285"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6. De teams dienen shirts met rugnummers te dragen. Zo nodig dient de ploeg die als tweede op het wedstrijdschema wordt genoemd voor reserveshirts te zorgen. </w:t>
      </w:r>
    </w:p>
    <w:p w:rsidR="00000000" w:rsidDel="00000000" w:rsidP="00000000" w:rsidRDefault="00000000" w:rsidRPr="00000000" w14:paraId="00000018">
      <w:pPr>
        <w:widowControl w:val="0"/>
        <w:spacing w:before="274.4140625" w:line="243.38141441345215"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7. Er wordt gespeeld met officieel goedgekeurde wedstrijdballen. De wedstrijdballen worden verstrekt door de handbalcommissie. De oefenballen dienen zelf meegenomen te worden. </w:t>
      </w:r>
    </w:p>
    <w:p w:rsidR="00000000" w:rsidDel="00000000" w:rsidP="00000000" w:rsidRDefault="00000000" w:rsidRPr="00000000" w14:paraId="00000019">
      <w:pPr>
        <w:widowControl w:val="0"/>
        <w:spacing w:before="276.815185546875" w:line="243.38129997253418"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8</w:t>
      </w:r>
      <w:r w:rsidDel="00000000" w:rsidR="00000000" w:rsidRPr="00000000">
        <w:rPr>
          <w:rFonts w:ascii="Poppins" w:cs="Poppins" w:eastAsia="Poppins" w:hAnsi="Poppins"/>
          <w:sz w:val="18"/>
          <w:szCs w:val="18"/>
          <w:rtl w:val="0"/>
        </w:rPr>
        <w:t xml:space="preserve">. Hars wordt verstrekt door de handbalcommissie. Indien men met andere hars dan de  aangeleverde hars speelt, wordt men gediskwalificeerd.  </w:t>
      </w:r>
      <w:r w:rsidDel="00000000" w:rsidR="00000000" w:rsidRPr="00000000">
        <w:rPr>
          <w:rtl w:val="0"/>
        </w:rPr>
      </w:r>
    </w:p>
    <w:p w:rsidR="00000000" w:rsidDel="00000000" w:rsidP="00000000" w:rsidRDefault="00000000" w:rsidRPr="00000000" w14:paraId="0000001A">
      <w:pPr>
        <w:widowControl w:val="0"/>
        <w:spacing w:before="276.8157958984375" w:line="243.7427043914795"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1B">
      <w:pPr>
        <w:widowControl w:val="0"/>
        <w:spacing w:before="276.8157958984375" w:line="243.7427043914795"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1C">
      <w:pPr>
        <w:widowControl w:val="0"/>
        <w:spacing w:before="276.8157958984375" w:line="243.7427043914795"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9. Protesten worden niet geaccepteerd voor zover deze scheidsrechterlijke beslissingen  betreffen. </w:t>
      </w:r>
      <w:r w:rsidDel="00000000" w:rsidR="00000000" w:rsidRPr="00000000">
        <w:rPr>
          <w:rtl w:val="0"/>
        </w:rPr>
      </w:r>
    </w:p>
    <w:p w:rsidR="00000000" w:rsidDel="00000000" w:rsidP="00000000" w:rsidRDefault="00000000" w:rsidRPr="00000000" w14:paraId="0000001D">
      <w:pPr>
        <w:widowControl w:val="0"/>
        <w:spacing w:before="282.32666015625" w:line="234.4220781326294" w:lineRule="auto"/>
        <w:ind w:left="1275.5905511811022" w:right="809.5275590551182" w:firstLine="0"/>
        <w:jc w:val="both"/>
        <w:rPr>
          <w:rFonts w:ascii="Poppins" w:cs="Poppins" w:eastAsia="Poppins" w:hAnsi="Poppins"/>
          <w:color w:val="222222"/>
          <w:sz w:val="18"/>
          <w:szCs w:val="18"/>
          <w:highlight w:val="white"/>
        </w:rPr>
      </w:pPr>
      <w:r w:rsidDel="00000000" w:rsidR="00000000" w:rsidRPr="00000000">
        <w:rPr>
          <w:rFonts w:ascii="Poppins" w:cs="Poppins" w:eastAsia="Poppins" w:hAnsi="Poppins"/>
          <w:sz w:val="18"/>
          <w:szCs w:val="18"/>
          <w:rtl w:val="0"/>
        </w:rPr>
        <w:t xml:space="preserve">10. </w:t>
      </w:r>
      <w:r w:rsidDel="00000000" w:rsidR="00000000" w:rsidRPr="00000000">
        <w:rPr>
          <w:rFonts w:ascii="Poppins" w:cs="Poppins" w:eastAsia="Poppins" w:hAnsi="Poppins"/>
          <w:color w:val="222222"/>
          <w:sz w:val="18"/>
          <w:szCs w:val="18"/>
          <w:highlight w:val="white"/>
          <w:rtl w:val="0"/>
        </w:rPr>
        <w:t xml:space="preserve">Teams die in de knock-outfase een wedstrijd opgeven, worden uitgesloten van deelname aan de wedstrijd om de derde plek. </w:t>
      </w:r>
    </w:p>
    <w:p w:rsidR="00000000" w:rsidDel="00000000" w:rsidP="00000000" w:rsidRDefault="00000000" w:rsidRPr="00000000" w14:paraId="0000001E">
      <w:pPr>
        <w:widowControl w:val="0"/>
        <w:numPr>
          <w:ilvl w:val="0"/>
          <w:numId w:val="1"/>
        </w:numPr>
        <w:spacing w:before="276.4825439453125" w:line="240" w:lineRule="auto"/>
        <w:ind w:left="1440" w:right="809.5275590551182" w:hanging="360"/>
        <w:jc w:val="both"/>
        <w:rPr>
          <w:rFonts w:ascii="Poppins" w:cs="Poppins" w:eastAsia="Poppins" w:hAnsi="Poppins"/>
          <w:b w:val="1"/>
          <w:bCs w:val="1"/>
          <w:sz w:val="18"/>
          <w:szCs w:val="18"/>
          <w:u w:val="none"/>
        </w:rPr>
      </w:pPr>
      <w:r w:rsidDel="00000000" w:rsidR="00000000" w:rsidRPr="00000000">
        <w:rPr>
          <w:rFonts w:ascii="Poppins" w:cs="Poppins" w:eastAsia="Poppins" w:hAnsi="Poppins"/>
          <w:b w:val="1"/>
          <w:bCs w:val="1"/>
          <w:sz w:val="18"/>
          <w:szCs w:val="18"/>
          <w:rtl w:val="0"/>
        </w:rPr>
        <w:t xml:space="preserve">Slotbepalingen </w:t>
      </w:r>
    </w:p>
    <w:p w:rsidR="00000000" w:rsidDel="00000000" w:rsidP="00000000" w:rsidRDefault="00000000" w:rsidRPr="00000000" w14:paraId="0000001F">
      <w:pPr>
        <w:widowControl w:val="0"/>
        <w:spacing w:before="277.52685546875" w:line="240"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w:t>
      </w:r>
      <w:r w:rsidDel="00000000" w:rsidR="00000000" w:rsidRPr="00000000">
        <w:rPr>
          <w:rFonts w:ascii="Poppins" w:cs="Poppins" w:eastAsia="Poppins" w:hAnsi="Poppins"/>
          <w:sz w:val="18"/>
          <w:szCs w:val="18"/>
          <w:rtl w:val="0"/>
        </w:rPr>
        <w:t xml:space="preserve">. Spelers dienen gepaste schoenen te dragen.  </w:t>
      </w:r>
    </w:p>
    <w:p w:rsidR="00000000" w:rsidDel="00000000" w:rsidP="00000000" w:rsidRDefault="00000000" w:rsidRPr="00000000" w14:paraId="00000020">
      <w:pPr>
        <w:widowControl w:val="0"/>
        <w:spacing w:before="279.925537109375" w:line="243.38072776794434"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2. De organisatie draagt geen verantwoordelijkheid voor ongevallen of schade aan derden  vóór, tijdens of na de wedstrijd. Deelname geschiedt op eigen risico. </w:t>
      </w:r>
    </w:p>
    <w:p w:rsidR="00000000" w:rsidDel="00000000" w:rsidP="00000000" w:rsidRDefault="00000000" w:rsidRPr="00000000" w14:paraId="00000021">
      <w:pPr>
        <w:widowControl w:val="0"/>
        <w:spacing w:before="276.8157958984375" w:line="243.3801555633545"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3. De organisatie draagt geen verantwoordelijkheid voor diefstal vóór, tijdens of na de  competitie. </w:t>
      </w:r>
    </w:p>
    <w:p w:rsidR="00000000" w:rsidDel="00000000" w:rsidP="00000000" w:rsidRDefault="00000000" w:rsidRPr="00000000" w14:paraId="00000022">
      <w:pPr>
        <w:widowControl w:val="0"/>
        <w:spacing w:before="277.8155517578125" w:line="243.38104248046875"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4. In alle gevallen behoudt de handbalcommissie zich het recht voor om een </w:t>
      </w:r>
      <w:r w:rsidDel="00000000" w:rsidR="00000000" w:rsidRPr="00000000">
        <w:rPr>
          <w:rFonts w:ascii="Poppins" w:cs="Poppins" w:eastAsia="Poppins" w:hAnsi="Poppins"/>
          <w:sz w:val="18"/>
          <w:szCs w:val="18"/>
          <w:rtl w:val="0"/>
        </w:rPr>
        <w:t xml:space="preserve">bindende, niet gelijkend aan bovenstaande, beslissing te nemen. Deze beslissing is in overeenstemming met de documenten vermeld in artikel 5 van de slotbepaling en kan niet worden doorgevoerd zonder toestemming van het GNSK comité en/of SSN. </w:t>
      </w:r>
      <w:r w:rsidDel="00000000" w:rsidR="00000000" w:rsidRPr="00000000">
        <w:rPr>
          <w:rtl w:val="0"/>
        </w:rPr>
      </w:r>
    </w:p>
    <w:p w:rsidR="00000000" w:rsidDel="00000000" w:rsidP="00000000" w:rsidRDefault="00000000" w:rsidRPr="00000000" w14:paraId="00000023">
      <w:pPr>
        <w:spacing w:line="276"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24">
      <w:pPr>
        <w:spacing w:line="276"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5. In alle gevallen waarin dit reglement niet voorziet, zijn de regels en bepalingen uit het Evenementenreglement SSN 2026 en </w:t>
      </w:r>
      <w:hyperlink r:id="rId6">
        <w:r w:rsidDel="00000000" w:rsidR="00000000" w:rsidRPr="00000000">
          <w:rPr>
            <w:rFonts w:ascii="Poppins" w:cs="Poppins" w:eastAsia="Poppins" w:hAnsi="Poppins"/>
            <w:color w:val="1155cc"/>
            <w:sz w:val="18"/>
            <w:szCs w:val="18"/>
            <w:u w:val="single"/>
            <w:rtl w:val="0"/>
          </w:rPr>
          <w:t xml:space="preserve">reglementen van NHV</w:t>
        </w:r>
      </w:hyperlink>
      <w:r w:rsidDel="00000000" w:rsidR="00000000" w:rsidRPr="00000000">
        <w:rPr>
          <w:rFonts w:ascii="Poppins" w:cs="Poppins" w:eastAsia="Poppins" w:hAnsi="Poppins"/>
          <w:sz w:val="18"/>
          <w:szCs w:val="18"/>
          <w:rtl w:val="0"/>
        </w:rPr>
        <w:t xml:space="preserve"> van toepassing, met uitzondering van de tijdstop regel bij 7-meter worpen en de time-out regel.</w:t>
      </w:r>
    </w:p>
    <w:p w:rsidR="00000000" w:rsidDel="00000000" w:rsidP="00000000" w:rsidRDefault="00000000" w:rsidRPr="00000000" w14:paraId="00000025">
      <w:pPr>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pict>
        <v:shape id="WordPictureWatermark1" style="position:absolute;width:613.7348031496064pt;height:795.6325533809382pt;rotation:0;z-index:-503316481;mso-position-horizontal-relative:margin;mso-position-horizontal:center;mso-position-vertical-relative:margin;mso-position-vertical:center;" alt="" type="#_x0000_t75">
          <v:imagedata cropbottom="0f" cropleft="0f" cropright="0f" croptop="0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handbal.nl/Kennisbank/regelgeving-competitie/#1"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